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69" w:rsidRDefault="00A04869" w:rsidP="00A048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ПОЛОЖЕНИЯ </w:t>
      </w:r>
    </w:p>
    <w:p w:rsidR="00A04869" w:rsidRPr="00A04869" w:rsidRDefault="00A04869" w:rsidP="00A048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ПОЛИТИКИ</w:t>
      </w:r>
    </w:p>
    <w:p w:rsidR="00A04869" w:rsidRPr="00A04869" w:rsidRDefault="00A04869" w:rsidP="00A048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ФОНДА ОБЯЗАТЕЛЬНОГО МЕДИЦИНСКОГО СТРАХОВАНИЯ ОРЕНБУРГСКОЙ ОБЛАСТИ</w:t>
      </w:r>
    </w:p>
    <w:p w:rsidR="00285CDA" w:rsidRDefault="00285CDA" w:rsidP="00A048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237" w:rsidRPr="00A04869" w:rsidRDefault="00825237" w:rsidP="00825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четная политика Территориального фонда обязательного медицинского страхования Оренбургской области (далее - учетная политика) разработана на основании:</w:t>
      </w:r>
    </w:p>
    <w:p w:rsidR="00825237" w:rsidRPr="00A04869" w:rsidRDefault="00825237" w:rsidP="00825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Федерального закона </w:t>
      </w:r>
      <w:hyperlink r:id="rId8" w:history="1">
        <w:r w:rsidRPr="00A0486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от 06.12.2011 г. № 402-ФЗ</w:t>
        </w:r>
      </w:hyperlink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«О бухгалтерском учете»;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</w:t>
      </w:r>
      <w:bookmarkStart w:id="0" w:name="l22"/>
      <w:bookmarkEnd w:id="0"/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- Бюджетного кодекса Российской Федерации;</w:t>
      </w:r>
    </w:p>
    <w:p w:rsidR="00825237" w:rsidRPr="00A04869" w:rsidRDefault="00825237" w:rsidP="00825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Приказа Минфина России </w:t>
      </w:r>
      <w:hyperlink r:id="rId9" w:history="1">
        <w:r w:rsidRPr="00A0486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от 01.12.2010 г. № 157н</w:t>
        </w:r>
      </w:hyperlink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 </w:t>
      </w:r>
      <w:bookmarkStart w:id="1" w:name="l99"/>
      <w:bookmarkEnd w:id="1"/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применению» (далее - Единый план счетов, Инструкция № 157н);</w:t>
      </w:r>
    </w:p>
    <w:p w:rsidR="00825237" w:rsidRPr="00A04869" w:rsidRDefault="00825237" w:rsidP="00825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bookmarkStart w:id="2" w:name="l23"/>
      <w:bookmarkEnd w:id="2"/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Приказа Минфина Российской Федерации </w:t>
      </w:r>
      <w:hyperlink r:id="rId10" w:history="1">
        <w:r w:rsidRPr="00A0486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от 06.12.2010 г. № 162н</w:t>
        </w:r>
      </w:hyperlink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«Об утверждении Плана счетов бюджетного учета и Инструкции по его применению» (далее - Инструкция № 162н);   </w:t>
      </w:r>
    </w:p>
    <w:p w:rsidR="00825237" w:rsidRPr="00A04869" w:rsidRDefault="00825237" w:rsidP="00825237">
      <w:pPr>
        <w:keepNext/>
        <w:keepLines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0486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shd w:val="clear" w:color="auto" w:fill="FFFFFF"/>
        </w:rPr>
        <w:t> </w:t>
      </w:r>
      <w:r w:rsidRPr="00A04869">
        <w:rPr>
          <w:rFonts w:ascii="Times New Roman" w:eastAsiaTheme="majorEastAsia" w:hAnsi="Times New Roman" w:cs="Times New Roman"/>
          <w:bCs/>
          <w:color w:val="2E74B5" w:themeColor="accent1" w:themeShade="BF"/>
          <w:sz w:val="24"/>
          <w:szCs w:val="24"/>
          <w:shd w:val="clear" w:color="auto" w:fill="FFFFFF"/>
        </w:rPr>
        <w:t xml:space="preserve">- </w:t>
      </w:r>
      <w:r w:rsidRPr="00A04869">
        <w:rPr>
          <w:rFonts w:ascii="Times New Roman" w:hAnsi="Times New Roman" w:cs="Times New Roman"/>
          <w:bCs/>
          <w:color w:val="26282F"/>
          <w:sz w:val="24"/>
          <w:szCs w:val="24"/>
        </w:rPr>
        <w:t>Приказа Минфина России от 29 ноября 2017 г. № 209н «Об утверждении Порядка применения классификации операций сектора государственного управления»;</w:t>
      </w:r>
    </w:p>
    <w:p w:rsidR="00825237" w:rsidRPr="00A04869" w:rsidRDefault="00825237" w:rsidP="00825237">
      <w:pPr>
        <w:keepNext/>
        <w:keepLines/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</w:pPr>
      <w:r w:rsidRPr="00A04869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>- Приказа Минфина Российской Федерации </w:t>
      </w:r>
      <w:hyperlink r:id="rId11" w:history="1">
        <w:r w:rsidRPr="00A04869">
          <w:rPr>
            <w:rFonts w:ascii="Times New Roman" w:eastAsiaTheme="majorEastAsia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от 30.03.2015 г. № 52н</w:t>
        </w:r>
      </w:hyperlink>
      <w:r w:rsidRPr="00A04869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> </w:t>
      </w:r>
      <w:r w:rsidRPr="00A04869">
        <w:rPr>
          <w:rFonts w:ascii="Times New Roman" w:eastAsiaTheme="majorEastAsia" w:hAnsi="Times New Roman" w:cs="Times New Roman"/>
          <w:bCs/>
          <w:sz w:val="24"/>
          <w:szCs w:val="24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A04869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>(далее - Приказ № 52н); </w:t>
      </w:r>
    </w:p>
    <w:p w:rsidR="00825237" w:rsidRPr="00A04869" w:rsidRDefault="00825237" w:rsidP="00825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 Приказа Минфина России </w:t>
      </w:r>
      <w:hyperlink r:id="rId12" w:history="1">
        <w:r w:rsidRPr="00A0486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от 28.12.2010 г. № 191н</w:t>
        </w:r>
      </w:hyperlink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Приказ № 191н); </w:t>
      </w:r>
    </w:p>
    <w:p w:rsidR="00825237" w:rsidRPr="00A04869" w:rsidRDefault="00825237" w:rsidP="00825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- Приказа Минфина России </w:t>
      </w:r>
      <w:hyperlink r:id="rId13" w:anchor="l628" w:history="1">
        <w:r w:rsidRPr="00A0486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от 31.12.2016 г. № 256н</w:t>
        </w:r>
      </w:hyperlink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«Об утверждении федерального стандарта бухгалтерского учета для организаций государственного сектора </w:t>
      </w:r>
      <w:bookmarkStart w:id="3" w:name="l101"/>
      <w:bookmarkEnd w:id="3"/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«Концептуальные основы </w:t>
      </w:r>
      <w:bookmarkStart w:id="4" w:name="l25"/>
      <w:bookmarkEnd w:id="4"/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бухгалтерского учета и отчетности организаций государственного сектора» (далее - ФСБУ «Концептуальные основы бухучета»);   </w:t>
      </w:r>
    </w:p>
    <w:p w:rsidR="00825237" w:rsidRPr="00A04869" w:rsidRDefault="00825237" w:rsidP="00825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 Приказа Минфина России </w:t>
      </w:r>
      <w:hyperlink r:id="rId14" w:anchor="l202" w:history="1">
        <w:r w:rsidRPr="00A0486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от 31.12.2016 г. № 257н</w:t>
        </w:r>
      </w:hyperlink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«Об утверждении федерального стандарта бухгалтерского учета для организаций государственного сектора «Основные средства» (далее - ФСБУ «Основные средства»);    </w:t>
      </w:r>
    </w:p>
    <w:p w:rsidR="00825237" w:rsidRPr="00A04869" w:rsidRDefault="00825237" w:rsidP="00825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Приказа Минфина России </w:t>
      </w:r>
      <w:hyperlink r:id="rId15" w:anchor="l116" w:history="1">
        <w:r w:rsidRPr="00A0486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от 31.12.2016 г. № 258н</w:t>
        </w:r>
      </w:hyperlink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«Об утверждении федерального стандарта бухгалтерского учета для организаций государственного сектора «Аренда» (далее - ФСБУ «Аренда»);    </w:t>
      </w:r>
      <w:bookmarkStart w:id="5" w:name="l26"/>
      <w:bookmarkEnd w:id="5"/>
    </w:p>
    <w:p w:rsidR="00825237" w:rsidRPr="00A04869" w:rsidRDefault="00825237" w:rsidP="00825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Приказа Минфина России </w:t>
      </w:r>
      <w:hyperlink r:id="rId16" w:anchor="l87" w:history="1">
        <w:r w:rsidRPr="00A0486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от 31.12.2016 г. № 259н</w:t>
        </w:r>
      </w:hyperlink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«Об утверждении федерального стандарта бухгалтерского учета для организаций государственного сектора «Обесценение активов» (далее - ФСБУ «Обесценение активов»);   </w:t>
      </w:r>
    </w:p>
    <w:p w:rsidR="00825237" w:rsidRPr="00A04869" w:rsidRDefault="00825237" w:rsidP="00825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Приказа Минфина России </w:t>
      </w:r>
      <w:hyperlink r:id="rId17" w:anchor="l175" w:history="1">
        <w:r w:rsidRPr="00A0486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от 31.12.2016 г. № 260н</w:t>
        </w:r>
      </w:hyperlink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  </w:t>
      </w:r>
    </w:p>
    <w:p w:rsidR="00825237" w:rsidRPr="00A04869" w:rsidRDefault="00825237" w:rsidP="00825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Минфина России от 30</w:t>
      </w: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.12.2017 г. № 274н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486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– ФСБУ «Учетная политика»);</w:t>
      </w:r>
    </w:p>
    <w:p w:rsidR="00825237" w:rsidRPr="00A04869" w:rsidRDefault="00825237" w:rsidP="00825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Минфина России от </w:t>
      </w: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27.02.2018 г. № 32н «</w:t>
      </w:r>
      <w:r w:rsidRPr="00A04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федерального стандарта бухгалтерского учета для организаций государственного сектора «Доходы» (далее – ФСБУ «Доходы»);</w:t>
      </w:r>
    </w:p>
    <w:p w:rsidR="00825237" w:rsidRPr="00A04869" w:rsidRDefault="00825237" w:rsidP="008252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869">
        <w:rPr>
          <w:rFonts w:ascii="Times New Roman" w:eastAsia="Calibri" w:hAnsi="Times New Roman" w:cs="Times New Roman"/>
          <w:sz w:val="24"/>
          <w:szCs w:val="24"/>
        </w:rPr>
        <w:t>- Приказа Минфина России от 30</w:t>
      </w:r>
      <w:r w:rsidRPr="00A048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.12.2017 г. № 275н</w:t>
      </w:r>
      <w:r w:rsidRPr="00A04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0486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«Об утверждении федерального стандарта бухгалтерского учета для организаций государственного сектора «События после отчетной даты».</w:t>
      </w:r>
    </w:p>
    <w:p w:rsidR="00825237" w:rsidRPr="00A04869" w:rsidRDefault="00825237" w:rsidP="00825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иных нормативно-правовых актов, регулирующих вопросы бухгалтерского (бюджетного) учета.</w:t>
      </w:r>
    </w:p>
    <w:p w:rsidR="00A04869" w:rsidRPr="00A04869" w:rsidRDefault="00A04869" w:rsidP="00335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Ведение бухгалтерского учета в Территориальном фонде обязательного медицинского страхования Оренбургской области (далее - Фонд) осуществляется бухгалтерией как самостоятельным структурным подразделением</w:t>
      </w:r>
      <w:r w:rsidR="00C9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бухгалтерии регламентируется Положением о бухгалтерии и должностными инструкц</w:t>
      </w:r>
      <w:r w:rsidR="00EC6E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сотрудников. </w:t>
      </w:r>
    </w:p>
    <w:p w:rsidR="00155350" w:rsidRDefault="00A04869" w:rsidP="00EC6E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ведет учет в качестве получателя бюджетных средств, администратора доходов бюджета, а также как финансовый орган в части учета исполнения бюджета территориального фонда обязательного медицинского страхования</w:t>
      </w:r>
      <w:r w:rsidR="00155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350" w:rsidRDefault="002517F1" w:rsidP="00335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политикой утвержден</w:t>
      </w:r>
      <w:r w:rsidR="00155350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CA50B4" w:rsidRDefault="002517F1" w:rsidP="00335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04869"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абочий план счетов бюджетного учета</w:t>
      </w:r>
      <w:r w:rsidR="00C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применения кодов </w:t>
      </w:r>
      <w:r w:rsidR="00A04869"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доходов бюджетов, расходов бюджетов, источников финансирования дефицитов бюджетов</w:t>
      </w:r>
      <w:r w:rsidR="003C19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0B4" w:rsidRDefault="00F65EEF" w:rsidP="00335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="00CA5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первичных учетных и иных документов, применяемых для оформления фактов хозяйственной жизни, ведения бухгалтерского учета</w:t>
      </w:r>
      <w:r w:rsidR="003C1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869" w:rsidRPr="00A04869" w:rsidRDefault="00A04869" w:rsidP="00A048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869">
        <w:rPr>
          <w:rFonts w:ascii="Times New Roman" w:hAnsi="Times New Roman" w:cs="Times New Roman"/>
          <w:b/>
          <w:bCs/>
          <w:sz w:val="24"/>
          <w:szCs w:val="24"/>
        </w:rPr>
        <w:t>Учет нефинансовых активов</w:t>
      </w:r>
    </w:p>
    <w:p w:rsidR="00A04869" w:rsidRPr="00A04869" w:rsidRDefault="00A04869" w:rsidP="00EC6E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учитывает </w:t>
      </w: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составе объектов основных средств материальные ценности независимо от их стоимости со сроком полезного использования более 12 месяцев, предназначенные для неоднократного или постоянного использования на праве оперативного управления (праве владения и (или) пользования имуществом, возникающем по договору аренды (имущественного найма) либо договору безвозмездного пользования) в целях выполнения возложенных на Фонд полномочий (функций), осуществления деятельности либо для управленческих нужд Фонда, являющиеся активами в соответствии с критериями, установленными ФСБУ «Концептуальные основы бухучета».</w:t>
      </w:r>
    </w:p>
    <w:p w:rsidR="00A04869" w:rsidRPr="00A04869" w:rsidRDefault="00A04869" w:rsidP="00EC6E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Локально-вычислительная сеть (ЛВС), охранно-пожарная сигнализация (ОПС), система видеонаблюдения, телефонная сеть как отдельные инвентарные объекты не учитываются. Информация о смонтированных системах отражается в инвентарных карточках в разделе «Индивидуальные характеристики». Отдельные элементы систем, которые соответствуют критериям основных средств, установленным ФСБУ «Основные средства», учитываются как отдельные основные средства. </w:t>
      </w:r>
    </w:p>
    <w:p w:rsidR="00A04869" w:rsidRPr="00A04869" w:rsidRDefault="00A04869" w:rsidP="00EC6E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основных средств, которые невозможно однозначно отнести к определенному коду ОКОФ, отражаются на счете «Прочие основные средства» с указанием кода ОКОФ 19 0009000 «Прочие материальные основные фонды, не указанные в других группировках».</w:t>
      </w:r>
    </w:p>
    <w:p w:rsidR="00A04869" w:rsidRPr="00A04869" w:rsidRDefault="00A04869" w:rsidP="00EC6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869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полезного использования объектов основных средств определяется в соответствии с пунктом 35 ФСБУ «Основные средства».</w:t>
      </w:r>
    </w:p>
    <w:p w:rsidR="00A04869" w:rsidRPr="00A04869" w:rsidRDefault="00A04869" w:rsidP="00432A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Инвентарным объектом основных средств является объект со всеми приспособлениями и принадлежностями. В составе приспособлений и принадлежностей к средствам вычислительной техники, связи, фото- и иной техники учитываются: </w:t>
      </w:r>
      <w:r w:rsidRPr="00A04869">
        <w:rPr>
          <w:rFonts w:ascii="Times New Roman" w:hAnsi="Times New Roman" w:cs="Times New Roman"/>
          <w:sz w:val="24"/>
          <w:szCs w:val="24"/>
        </w:rPr>
        <w:t>сумки и чехлы для переносных компьютеров;</w:t>
      </w:r>
      <w:r w:rsidR="00432AA0">
        <w:rPr>
          <w:rFonts w:ascii="Times New Roman" w:hAnsi="Times New Roman" w:cs="Times New Roman"/>
          <w:sz w:val="24"/>
          <w:szCs w:val="24"/>
        </w:rPr>
        <w:t xml:space="preserve"> </w:t>
      </w:r>
      <w:r w:rsidRPr="00A04869">
        <w:rPr>
          <w:rFonts w:ascii="Times New Roman" w:hAnsi="Times New Roman" w:cs="Times New Roman"/>
          <w:sz w:val="24"/>
          <w:szCs w:val="24"/>
          <w:shd w:val="clear" w:color="auto" w:fill="FFFFFF"/>
        </w:rPr>
        <w:t>пульты управления для кондиционеров, сплит-систем и другой техники;</w:t>
      </w:r>
      <w:r w:rsidR="00432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4869">
        <w:rPr>
          <w:rFonts w:ascii="Times New Roman" w:hAnsi="Times New Roman" w:cs="Times New Roman"/>
          <w:sz w:val="24"/>
          <w:szCs w:val="24"/>
        </w:rPr>
        <w:t>чехлы, сумки и кобуры для сотовых телефонов, фототехники и иных устройств</w:t>
      </w:r>
      <w:r w:rsidR="00EC6EED">
        <w:rPr>
          <w:rFonts w:ascii="Times New Roman" w:hAnsi="Times New Roman" w:cs="Times New Roman"/>
          <w:sz w:val="24"/>
          <w:szCs w:val="24"/>
        </w:rPr>
        <w:t xml:space="preserve"> и т.п.</w:t>
      </w:r>
      <w:r w:rsidR="003C195D">
        <w:rPr>
          <w:rFonts w:ascii="Times New Roman" w:hAnsi="Times New Roman" w:cs="Times New Roman"/>
          <w:sz w:val="24"/>
          <w:szCs w:val="24"/>
        </w:rPr>
        <w:t xml:space="preserve"> </w:t>
      </w:r>
      <w:r w:rsidRPr="00A04869">
        <w:rPr>
          <w:rFonts w:ascii="Times New Roman" w:hAnsi="Times New Roman" w:cs="Times New Roman"/>
          <w:sz w:val="24"/>
          <w:szCs w:val="24"/>
        </w:rPr>
        <w:t>В составе приспособлений и принадлежностей к автотранспортным средствам учитываются:</w:t>
      </w:r>
      <w:r w:rsidR="00432AA0">
        <w:rPr>
          <w:rFonts w:ascii="Times New Roman" w:hAnsi="Times New Roman" w:cs="Times New Roman"/>
          <w:sz w:val="24"/>
          <w:szCs w:val="24"/>
        </w:rPr>
        <w:t xml:space="preserve"> </w:t>
      </w:r>
      <w:r w:rsidRPr="00A04869">
        <w:rPr>
          <w:rFonts w:ascii="Times New Roman" w:hAnsi="Times New Roman" w:cs="Times New Roman"/>
          <w:sz w:val="24"/>
          <w:szCs w:val="24"/>
        </w:rPr>
        <w:t>домкраты; компрессоры (насосы); буксировочные т</w:t>
      </w:r>
      <w:r w:rsidR="00EC6EED">
        <w:rPr>
          <w:rFonts w:ascii="Times New Roman" w:hAnsi="Times New Roman" w:cs="Times New Roman"/>
          <w:sz w:val="24"/>
          <w:szCs w:val="24"/>
        </w:rPr>
        <w:t>росы и т.д.</w:t>
      </w:r>
      <w:r w:rsidRPr="00A04869">
        <w:rPr>
          <w:rFonts w:ascii="Times New Roman" w:hAnsi="Times New Roman" w:cs="Times New Roman"/>
          <w:sz w:val="24"/>
          <w:szCs w:val="24"/>
        </w:rPr>
        <w:t xml:space="preserve"> В составе приспособлений и принадлежностей к ручному электроинструменту учитываются:</w:t>
      </w:r>
      <w:r w:rsidR="00432AA0">
        <w:rPr>
          <w:rFonts w:ascii="Times New Roman" w:hAnsi="Times New Roman" w:cs="Times New Roman"/>
          <w:sz w:val="24"/>
          <w:szCs w:val="24"/>
        </w:rPr>
        <w:t xml:space="preserve"> </w:t>
      </w:r>
      <w:r w:rsidRPr="00A04869">
        <w:rPr>
          <w:rFonts w:ascii="Times New Roman" w:hAnsi="Times New Roman" w:cs="Times New Roman"/>
          <w:sz w:val="24"/>
          <w:szCs w:val="24"/>
        </w:rPr>
        <w:t>сумки (ящики);</w:t>
      </w:r>
      <w:r w:rsidR="00432AA0">
        <w:rPr>
          <w:rFonts w:ascii="Times New Roman" w:hAnsi="Times New Roman" w:cs="Times New Roman"/>
          <w:sz w:val="24"/>
          <w:szCs w:val="24"/>
        </w:rPr>
        <w:t xml:space="preserve"> </w:t>
      </w:r>
      <w:r w:rsidRPr="00A04869">
        <w:rPr>
          <w:rFonts w:ascii="Times New Roman" w:hAnsi="Times New Roman" w:cs="Times New Roman"/>
          <w:sz w:val="24"/>
          <w:szCs w:val="24"/>
        </w:rPr>
        <w:t>сменные насадки</w:t>
      </w:r>
      <w:r w:rsidR="00EC6EE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04869" w:rsidRPr="00A04869" w:rsidRDefault="00A04869" w:rsidP="00A048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инвентарный объект, признаваемый комплексом объектов основных средств, могут объединяться объекты имущества, относящиеся к группе основных средств «Машины и оборудование», имеющие одинаковые сроки полезного использования и несущественную стоимость. Критериями отнесения стоимости объектов основных средств к несущественной являются критерии, установленные для начисления 100% амортизации при вводе в эксплуатацию, применяемые к объекту в целом. Необходимость объединения и конкретный перечень объединяемых объектов определяет комиссия по поступлению и выбытию активов.</w:t>
      </w:r>
    </w:p>
    <w:p w:rsidR="00A04869" w:rsidRPr="00A04869" w:rsidRDefault="00A04869" w:rsidP="00A048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 блоки, мониторы, компьютерные мыши, клавиатуры объединяются в один инвентарный объект. Перечень компонент приводится в инвентарной карточке</w:t>
      </w:r>
      <w:r w:rsidR="00C9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Принтеры,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сканеры, колонки, акустические системы, многофункциональные устройства, </w:t>
      </w:r>
      <w:r w:rsidRPr="00A04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устройства бесперебойного питания, моноблоки,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накопители и другие аналогичные устройства учитываются в качестве отдельных объектов. </w:t>
      </w:r>
    </w:p>
    <w:p w:rsidR="00A04869" w:rsidRPr="00A04869" w:rsidRDefault="00A04869" w:rsidP="00A048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оборудование, устанавливаемое на автомобиль – автомагнитолы, звуковые колонки, усилители звуковые, автосигнализации, навигаторы, видеорегистраторы, рессиверы, тахографы учитываются как самостоятельные основные средства.</w:t>
      </w:r>
    </w:p>
    <w:p w:rsidR="00A04869" w:rsidRPr="00A04869" w:rsidRDefault="00A04869" w:rsidP="00A048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 (финансовой) отчетности, осуществляется по справедливой стоимости - в оценке, соответствующей цене, по которой может быть осуществлен переход права собственности на актив между независимыми сторонами сделки, осведомленными о предмете сделки и желающими ее совершить.    </w:t>
      </w:r>
      <w:bookmarkStart w:id="6" w:name="l112"/>
      <w:bookmarkEnd w:id="6"/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Справедливая стоимость для различных видов активов и обязательств определяется  методом рыночных цен.</w:t>
      </w:r>
    </w:p>
    <w:p w:rsidR="00A04869" w:rsidRPr="00A04869" w:rsidRDefault="00A04869" w:rsidP="00A04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определения справедливой стоимости объектов (кроме недвижимости) могут являться данные о ценах на аналогичные материальные ценности, полученные в письменной форме от организаций-изготовителей (с применением поправочных коэффициентов для объектов, бывших в употреблении); сведения об уровне цен, имеющиеся у органов государственной статистики (с применением поправочных коэффициентов для объектов, бывших в употреблении); экспертные заключения;  д</w:t>
      </w:r>
      <w:r w:rsidRPr="00A04869">
        <w:rPr>
          <w:rFonts w:ascii="Times New Roman" w:hAnsi="Times New Roman" w:cs="Times New Roman"/>
          <w:sz w:val="24"/>
          <w:szCs w:val="24"/>
        </w:rPr>
        <w:t>анные объявлений о продаже аналогичных объектов в СМИ с применением поправочных коэффициентов.</w:t>
      </w:r>
    </w:p>
    <w:p w:rsidR="00A04869" w:rsidRPr="00A04869" w:rsidRDefault="00A04869" w:rsidP="00E261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по замене отдельных составных частей объекта основных средств  включаются в момент их возникновения в стоимость объекта. Одновременно с его стоимости списывается в текущие расходы стоимость заменяемых (выбываемых) составных частей. Данное правило распространяется к группе основных средств «Машины и оборудование», </w:t>
      </w:r>
      <w:r w:rsidRPr="00A04869">
        <w:rPr>
          <w:rFonts w:ascii="Times New Roman" w:hAnsi="Times New Roman" w:cs="Times New Roman"/>
          <w:sz w:val="24"/>
          <w:szCs w:val="24"/>
        </w:rPr>
        <w:t xml:space="preserve">в отношении которых были проведены восстановительные (капитальные ремонтные) работы.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положения применяются к основным средствам балансовой стоимостью более 100 000 руб., и  если стоимость заменяемой части объекта составляет 30 и более процентов от общей стоимости основного средства.</w:t>
      </w:r>
      <w:r w:rsidR="00E2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документального подтверждения стоимости выбывающей части операция отражению на балансовых счетах  не подлежит.</w:t>
      </w:r>
    </w:p>
    <w:p w:rsidR="00A04869" w:rsidRPr="00A04869" w:rsidRDefault="00A04869" w:rsidP="00E26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Положения п. 28 ФСБУ «Основные средства» Фондом не применяются. </w:t>
      </w:r>
    </w:p>
    <w:p w:rsidR="00A04869" w:rsidRPr="00A04869" w:rsidRDefault="00E261E9" w:rsidP="00E261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04869"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 годовой суммы начисления амортизации основных средств производится ежемесячно линейным методом.  </w:t>
      </w:r>
    </w:p>
    <w:p w:rsidR="00A04869" w:rsidRPr="00A04869" w:rsidRDefault="00A04869" w:rsidP="00C96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869">
        <w:rPr>
          <w:shd w:val="clear" w:color="auto" w:fill="FFFFFF"/>
        </w:rPr>
        <w:t xml:space="preserve"> </w:t>
      </w:r>
      <w:r w:rsidRPr="00A04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период </w:t>
      </w:r>
      <w:r w:rsidRPr="00A04869">
        <w:rPr>
          <w:rFonts w:ascii="Times New Roman" w:hAnsi="Times New Roman" w:cs="Times New Roman"/>
          <w:sz w:val="24"/>
          <w:szCs w:val="24"/>
        </w:rPr>
        <w:t xml:space="preserve">проведения инвентаризаций, проводимых в целях формирования годовой отчетности, комиссией производится выявление объектов имущества, не соответствующих критериям актива. </w:t>
      </w:r>
    </w:p>
    <w:p w:rsidR="00A04869" w:rsidRPr="00A04869" w:rsidRDefault="00A04869" w:rsidP="00432A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вопросу о нецелесообразности (невозможности) дальнейшего использования имущества принимает комиссия по поступлению и выбытию активов.</w:t>
      </w:r>
      <w:r w:rsidR="0036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869">
        <w:rPr>
          <w:rFonts w:ascii="Times New Roman" w:hAnsi="Times New Roman" w:cs="Times New Roman"/>
          <w:sz w:val="24"/>
          <w:szCs w:val="24"/>
        </w:rPr>
        <w:t xml:space="preserve">Имущество, в отношении которого принято решение о списании (прекращении эксплуатации), в том числе в связи с физическим или моральным износом и невозможностью (нецелесообразностью) его дальнейшего использования, списывается с балансового учета и до реализации мероприятий, предусмотренных при списании имущества (демонтаж, утилизация, уничтожение), учитывается за балансом на счете 02 «Материальные ценности, принятые на хранение». </w:t>
      </w:r>
    </w:p>
    <w:p w:rsidR="00A04869" w:rsidRPr="00A04869" w:rsidRDefault="00A04869" w:rsidP="00432A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нематериальным активам относятся объекты нефинансовых активов, предназначенные для неоднократного и (или) постоянного использования на праве оперативного управления в деятельности Фонда, одновременно удовлетворяющие условиям, перечисленным в п. 56 </w:t>
      </w: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Инструкции № 157н.</w:t>
      </w:r>
    </w:p>
    <w:p w:rsidR="00A04869" w:rsidRPr="00A04869" w:rsidRDefault="00A04869" w:rsidP="00432A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Материальные объекты (материальные носители), в которых выражены результаты интеллектуальной деятельности и приравненные к ним средства индивидуализации, не относятся к нематериальным активам, принимаемым к бухгалтерскому учету. К таким объектам (носителям) относятся, в частности, </w:t>
      </w: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CD</w:t>
      </w: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DVD</w:t>
      </w: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диски, документы на бумажных носителях (книги, брошюры).</w:t>
      </w:r>
      <w:r w:rsidR="00432A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Материальные носители нематериальных активов принимаются к учету в составе материальных </w:t>
      </w: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запасов и списываются с балансового учета при выдаче ответственным лицам, если при передаче Фонду от поставщика нематериальных активов эти материальные носители передавались с указанием стоимости.</w:t>
      </w:r>
    </w:p>
    <w:p w:rsidR="00A04869" w:rsidRPr="00A04869" w:rsidRDefault="00A04869" w:rsidP="00432A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0486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Для основных средств и нематериальных активов в конце года после годовой инвентаризации имущества комиссией по поступлению и выбытию активов проводится  тест на обесценение. При наличии признаков обесценения определяется справедливая стоимость актива методом рыночных цен и оценивается необходимость корректировки оставшегося срока его полезного использования. </w:t>
      </w:r>
    </w:p>
    <w:p w:rsidR="00A04869" w:rsidRPr="00A04869" w:rsidRDefault="00A04869" w:rsidP="00432A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счете 103.00 «</w:t>
      </w:r>
      <w:r w:rsidRPr="00A0486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Непроизведенные активы» учитывается з</w:t>
      </w: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емельный участок, используемый Фондом  на праве постоянного (бессрочного) пользования, по его кадастровой стоимости.</w:t>
      </w:r>
    </w:p>
    <w:p w:rsidR="00A04869" w:rsidRPr="00A04869" w:rsidRDefault="00A04869" w:rsidP="00432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Единицей бухгалтерского учета материальных запасов является номенклатурный номер. </w:t>
      </w:r>
    </w:p>
    <w:p w:rsidR="00A04869" w:rsidRPr="00A04869" w:rsidRDefault="00A04869" w:rsidP="00432A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 (отпуск) материальных запасов производится по фактической стоимости каждой единицы. Списание (отпуск) отдельных наименований материальных запасов может производиться по средней фактической стоимости</w:t>
      </w:r>
      <w:r w:rsidR="00E26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A04869">
        <w:rPr>
          <w:rFonts w:ascii="Times New Roman" w:eastAsia="Calibri" w:hAnsi="Times New Roman" w:cs="Times New Roman"/>
          <w:sz w:val="24"/>
          <w:szCs w:val="24"/>
          <w:lang w:eastAsia="ru-RU"/>
        </w:rPr>
        <w:t>канцелярских товаров, моющих и чистящих средств, электротоваров, строительных материалов, расходных материалов для вычислительной и копировальной техники, расходных</w:t>
      </w:r>
      <w:r w:rsidR="00E261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материалов для автотранспорта и т.п.).</w:t>
      </w:r>
    </w:p>
    <w:p w:rsidR="00A04869" w:rsidRPr="00A04869" w:rsidRDefault="00A04869" w:rsidP="00432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горюче-смазочных материалов производится на основании путевых листов по средней фактической стоимости.</w:t>
      </w:r>
      <w:r w:rsidR="0043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списания ГСМ применяются нормы, утвержденные приказами директора Фонда. Нормы разработаны с учетом действующих Норм расхода топлива и смазочных материалов на автомобильном транспорте, утверждаемых Минтрансом России.</w:t>
      </w:r>
      <w:r w:rsidR="0043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приказом директора утверждаются период применения зимней надбавки к нормам расхода ГСМ и ее величина. </w:t>
      </w:r>
    </w:p>
    <w:p w:rsidR="00A04869" w:rsidRPr="00A04869" w:rsidRDefault="00A04869" w:rsidP="00432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запасы, полученные в результате ремонта, разборки, утилизации (ликвидации), дооборудования, модернизации и т.п. основных средств, иного имущест</w:t>
      </w:r>
      <w:r w:rsidR="0043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принимаются к учету если они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 к использованию в Фонде;</w:t>
      </w:r>
      <w:r w:rsidR="0043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переданы сторонней организации.</w:t>
      </w:r>
    </w:p>
    <w:p w:rsidR="00A04869" w:rsidRPr="00A04869" w:rsidRDefault="00A04869" w:rsidP="00432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стоимость полученных материальных запасов определяется исходя из:</w:t>
      </w:r>
    </w:p>
    <w:p w:rsidR="00A04869" w:rsidRPr="00A04869" w:rsidRDefault="00A04869" w:rsidP="00432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их справедливой стоимости на дату принятия к бухгалтерскому учету, рассчитанной методом рыночных цен;</w:t>
      </w:r>
    </w:p>
    <w:p w:rsidR="00A04869" w:rsidRPr="00A04869" w:rsidRDefault="00A04869" w:rsidP="00432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-сумм, уплачиваемых за приведение их в состояние, пригодное для использования. </w:t>
      </w:r>
    </w:p>
    <w:p w:rsidR="00A04869" w:rsidRPr="00A04869" w:rsidRDefault="00A04869" w:rsidP="00432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же порядке к учету принимается вторичное сырье, которое может быть использовано. Отходы, подлежащие утилизации в установленном порядке, не принимаются к бухгалтерскому учету.</w:t>
      </w:r>
    </w:p>
    <w:p w:rsidR="00A04869" w:rsidRPr="00A04869" w:rsidRDefault="00A04869" w:rsidP="00432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вопросу о возможности (невозможности) дальнейшего использования полученных материалов принимает комиссия по поступлению и выбытию активов исходя из внешних признаков непригодности и качественных характеристик.</w:t>
      </w:r>
    </w:p>
    <w:p w:rsidR="00A04869" w:rsidRPr="00A04869" w:rsidRDefault="00A04869" w:rsidP="00A0486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 денежных средств </w:t>
      </w:r>
    </w:p>
    <w:p w:rsidR="00A04869" w:rsidRPr="00A04869" w:rsidRDefault="00A04869" w:rsidP="007F19A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869">
        <w:rPr>
          <w:rFonts w:ascii="Times New Roman" w:hAnsi="Times New Roman" w:cs="Times New Roman"/>
          <w:sz w:val="24"/>
          <w:szCs w:val="24"/>
        </w:rPr>
        <w:t>Операции с денежными средствами осуществляются с использованием лицевых счетов, открытых Фонду в территориальном органе Федерального казначейства.</w:t>
      </w:r>
    </w:p>
    <w:p w:rsidR="00A04869" w:rsidRPr="00A04869" w:rsidRDefault="00A04869" w:rsidP="007F1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взаимодействия с территориальными органами Федерального казначейства посредством электронного документооборота и при наличии значительного количества платежных документов Фондом формируется</w:t>
      </w:r>
      <w:r w:rsidR="003C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платежных документов с целью оплаты денежных обязательств, осуществляемых с лицевого счета получателя бюджетных средств. Реестр платежных документов по лицевому счету подписывается директором и главным бухгалтером. Реестр платежных документов прилагается к выписке из лицевого счета в качестве первичного документа, заменяя платежные поручения, заявки на кассовый расход.</w:t>
      </w:r>
    </w:p>
    <w:p w:rsidR="00A04869" w:rsidRPr="00A04869" w:rsidRDefault="00A04869" w:rsidP="007F1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средств нормированного страхового запаса Фонда осуществляется на счете 202.11 «Средства на счетах бюджета в рублях в органе Федерального казначейства» с использованием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субконто</w:t>
      </w:r>
      <w:r w:rsidR="007F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нормированного страхового запаса отражается на счете на основании распоряжений Фонда; использование средств нормированного страхового запаса и его пополнение -  на основании выписок с лицевых счетов Фонда. </w:t>
      </w:r>
    </w:p>
    <w:p w:rsidR="00A04869" w:rsidRPr="00A04869" w:rsidRDefault="00A04869" w:rsidP="00A0486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Расчеты по доходам</w:t>
      </w:r>
    </w:p>
    <w:p w:rsidR="00A04869" w:rsidRPr="00A04869" w:rsidRDefault="00A04869" w:rsidP="005629B3">
      <w:pPr>
        <w:spacing w:after="0" w:line="240" w:lineRule="auto"/>
        <w:ind w:firstLine="851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доходов от сумм принудительного изъятия и компенсации затрат производится в учете на дату предъявления плательщику документа, устанавливающего право требования уплаты санкций, возникших по результатам выполнения Фондом возложенных на него функций, а также в силу заключенных договоров, контрактов и т.п. </w:t>
      </w:r>
    </w:p>
    <w:p w:rsidR="00A04869" w:rsidRPr="00A04869" w:rsidRDefault="00360898" w:rsidP="00A0486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(предъявление, взыскание)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санкций, компенсаций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производится (не контролируется) Фондом, сумму </w:t>
      </w: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(денежную величину) и время поступления которых не возможно надежно определить,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r w:rsidR="00A04869"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 учете </w:t>
      </w:r>
      <w:r w:rsidR="00A04869"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 дате зачисления на счет бюджета. </w:t>
      </w:r>
    </w:p>
    <w:p w:rsidR="00A04869" w:rsidRPr="00A04869" w:rsidRDefault="00A04869" w:rsidP="005629B3">
      <w:pPr>
        <w:spacing w:after="0" w:line="240" w:lineRule="auto"/>
        <w:ind w:firstLine="851"/>
        <w:jc w:val="both"/>
      </w:pPr>
      <w:r w:rsidRPr="00A048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случае получения Фондом документа, свидетельствующего об обращении должника в судебные органы, сумма задолженности переносится на счет 401.40 «Доходы будущих периодов» и учитывается на нем до завершения судебного процесса и вынесения судом соответствующего решения.  </w:t>
      </w:r>
    </w:p>
    <w:p w:rsidR="00A04869" w:rsidRPr="00A04869" w:rsidRDefault="00A04869" w:rsidP="00562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поступивших доходов на счете 205.00 «</w:t>
      </w:r>
      <w:r w:rsidRPr="00A0486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Расчеты по доходам»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 на основании </w:t>
      </w: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выписки из лицевого счета администратора доходов бюджета, предоставляемой УФК по Оренбургской области, и первичных документов, приложенных к ней. </w:t>
      </w:r>
    </w:p>
    <w:p w:rsidR="00A04869" w:rsidRPr="00A04869" w:rsidRDefault="00A04869" w:rsidP="00562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суммам задолженности подотчетных лиц, своевременно не возвращенным и не удержанным из зарплаты, задолженности за неотработанные дни отпуска при увольнении работника, иным суммам излишне произведенных выплат учитываются на счете 209.30 в момент возникновения требований к их плательщикам (начала претензионной работы).</w:t>
      </w:r>
    </w:p>
    <w:p w:rsidR="00A04869" w:rsidRPr="00A04869" w:rsidRDefault="00A04869" w:rsidP="00A0486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Расчеты по выданным авансам</w:t>
      </w:r>
    </w:p>
    <w:p w:rsidR="00A04869" w:rsidRPr="00A04869" w:rsidRDefault="00A04869" w:rsidP="00562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дебиторской задолженности по выданным авансам по оплате труда в связи с перерасчетом при предоставлении корректирующего Табеля учета использования рабочего времени (в случае предоставления листков нетрудоспособности, выполнения государственной обязанности) применяется счет 206.00 «Расчеты по выданным авансам».</w:t>
      </w:r>
    </w:p>
    <w:p w:rsidR="00A04869" w:rsidRPr="00A04869" w:rsidRDefault="00A04869" w:rsidP="00562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Дебиторская задолженность поставщиков товаров, работ, услуг, подлежащая возврату в бюджет Фонда, учитывается в течение года на соответствующих счетах 206.00 «Расчеты по выданным авансам». В случае непогашения задолженности в текущем году, при заключении финансового года сумма задолженности подлежит переводу на счет </w:t>
      </w:r>
      <w:r w:rsidRPr="00A04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209.36 «Расчеты по доходам бюджета от возврата дебиторской задолженности прошлых лет».</w:t>
      </w:r>
    </w:p>
    <w:p w:rsidR="00A04869" w:rsidRPr="00A04869" w:rsidRDefault="00A04869" w:rsidP="00A0486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Расчеты с подотчетными лицами</w:t>
      </w:r>
    </w:p>
    <w:p w:rsidR="00360898" w:rsidRDefault="00A04869" w:rsidP="00562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по выданным под отчет сотрудникам учреждения денежным средствам, а также расчеты по выплате подотчетным лицам перерасходов (в т.ч. и в тех случаях, когда денежные средства под отчет не выдавались) подлежат учету на счете 208.00 «Расчеты с подотчетными лицами». </w:t>
      </w:r>
    </w:p>
    <w:p w:rsidR="006C1FFC" w:rsidRPr="00E15F3B" w:rsidRDefault="00A04869" w:rsidP="006C1FFC">
      <w:pPr>
        <w:pStyle w:val="a3"/>
        <w:spacing w:before="0" w:beforeAutospacing="0" w:after="0" w:afterAutospacing="0"/>
        <w:ind w:firstLine="851"/>
        <w:jc w:val="both"/>
      </w:pPr>
      <w:r w:rsidRPr="00A04869">
        <w:t xml:space="preserve">По своевременно не возвращенным и не удержанным из заработной платы суммам задолженности подотчетных лиц (в т.ч. уволенных сотрудников), в установленном порядке ведется претензионная </w:t>
      </w:r>
      <w:r w:rsidR="006C1FFC" w:rsidRPr="00E15F3B">
        <w:t>работа, а задолженность подлежит учету на счете 209.30 «Расчеты по компенсации затрат».</w:t>
      </w:r>
    </w:p>
    <w:p w:rsidR="006C1FFC" w:rsidRDefault="006C1FFC" w:rsidP="006C1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CE9" w:rsidRDefault="00D65CE9" w:rsidP="006C1FF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CE9" w:rsidRDefault="00D65CE9" w:rsidP="006C1FF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869" w:rsidRPr="00A04869" w:rsidRDefault="00A04869" w:rsidP="006C1FF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Учет обязательств</w:t>
      </w:r>
    </w:p>
    <w:p w:rsidR="003C195D" w:rsidRDefault="003C195D" w:rsidP="00562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869" w:rsidRPr="00A04869" w:rsidRDefault="00A04869" w:rsidP="00562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использования средств обязательного медицинского страхования страховыми медицинскими организациями осуществляется по отчетам, представляемым ими в Фонд.</w:t>
      </w:r>
    </w:p>
    <w:p w:rsidR="00262862" w:rsidRDefault="00A04869" w:rsidP="00562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Табеля учета использования рабочего времени (ф. 0504421) осуществляется путем регистрации в нем случаев отклонения от нормального использования рабочего времени.</w:t>
      </w:r>
      <w:r w:rsidR="0056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869" w:rsidRPr="00A04869" w:rsidRDefault="00A04869" w:rsidP="00562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суммам заработной платы, перечисляемым на личные банковские карты работников, подлежат учету на счете 302.11.</w:t>
      </w:r>
    </w:p>
    <w:p w:rsidR="00A04869" w:rsidRPr="00A04869" w:rsidRDefault="00A04869" w:rsidP="009A04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Исчисление сумм налогов, подлежащих перечислению в бюджет, осуществляется бухгалтерской службой Фонда. В соответствии со статьей 251 Налогового кодекса РФ Фондом ведется отдельный учет сумм доходов и расходов, учитываемых при определении налогооблагаемой базы по налогу на прибыль. </w:t>
      </w:r>
    </w:p>
    <w:p w:rsidR="00A04869" w:rsidRPr="00A04869" w:rsidRDefault="00A04869" w:rsidP="00A048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момента признания доходов/расходов при исчислении налога на прибыль устанавливается кассовый метод.</w:t>
      </w:r>
    </w:p>
    <w:p w:rsidR="00A04869" w:rsidRPr="00A04869" w:rsidRDefault="00A04869" w:rsidP="00A048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организаций, земельный и транспортный налоги, налог на прибыль, налог на добавленную стоимость начисляются ежеквартально в последний рабочий день квартала на основании налоговых расчетов (деклараций), расчетов суммы налога, подлежащего уплате в бюджет, с оформлением бухгалтерской справки (ф. 0504833).</w:t>
      </w:r>
    </w:p>
    <w:p w:rsidR="00A758CD" w:rsidRDefault="00A04869" w:rsidP="00F953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Пени, штрафы и иные санкции, перечисляемые в бюджеты (внебюджетные фонды), отражаются на счетах учета расчетов по соответствующим налогам, сборам, взносам (303.00 «Расчеты по платежам в бюджеты»).</w:t>
      </w:r>
    </w:p>
    <w:p w:rsidR="003C195D" w:rsidRDefault="003C195D" w:rsidP="00F953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5D" w:rsidRDefault="003C195D" w:rsidP="003C19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Учетной политикой также установлен порядок: </w:t>
      </w:r>
    </w:p>
    <w:p w:rsidR="003C195D" w:rsidRDefault="003C195D" w:rsidP="003C19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регистров бухгалтерского учета</w:t>
      </w:r>
      <w:r w:rsidR="00D65C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195D" w:rsidRDefault="003C195D" w:rsidP="003C19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отражения в учете документов, поступивших в Фонд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поздней датой, чем дата их выставления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195D" w:rsidRDefault="003C195D" w:rsidP="003C19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 ошибок текущего (отчетного) года и ошибок прошлых лет</w:t>
      </w:r>
      <w:r w:rsidR="00D65C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D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95D" w:rsidRPr="007D6A4C" w:rsidRDefault="003C195D" w:rsidP="003C195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признания и </w:t>
      </w:r>
      <w:r w:rsidRPr="007D6A4C">
        <w:rPr>
          <w:rFonts w:ascii="Times New Roman" w:hAnsi="Times New Roman" w:cs="Times New Roman"/>
          <w:bCs/>
          <w:sz w:val="24"/>
          <w:szCs w:val="24"/>
        </w:rPr>
        <w:t>отражения в учете событий после отчетной даты</w:t>
      </w:r>
      <w:r w:rsidR="00D65CE9">
        <w:rPr>
          <w:rFonts w:ascii="Times New Roman" w:hAnsi="Times New Roman" w:cs="Times New Roman"/>
          <w:bCs/>
          <w:sz w:val="24"/>
          <w:szCs w:val="24"/>
        </w:rPr>
        <w:t>;</w:t>
      </w:r>
    </w:p>
    <w:p w:rsidR="003C195D" w:rsidRPr="00A04869" w:rsidRDefault="003C195D" w:rsidP="003C19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списания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балансового учета дебиторской задолженности, других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лгов, нереальных для взыскания</w:t>
      </w:r>
      <w:r w:rsidR="00D65C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195D" w:rsidRDefault="003C195D" w:rsidP="003C19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денежных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Фонда и в качестве </w:t>
      </w:r>
      <w:r w:rsidRPr="00A04869">
        <w:rPr>
          <w:rFonts w:ascii="Times New Roman" w:eastAsia="Times New Roman" w:hAnsi="Times New Roman" w:cs="Times New Roman"/>
          <w:sz w:val="24"/>
          <w:szCs w:val="24"/>
        </w:rPr>
        <w:t>компенсации расходов, самостоятельно произведенных 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4869">
        <w:rPr>
          <w:rFonts w:ascii="Times New Roman" w:eastAsia="Times New Roman" w:hAnsi="Times New Roman" w:cs="Times New Roman"/>
          <w:sz w:val="24"/>
          <w:szCs w:val="24"/>
        </w:rPr>
        <w:t xml:space="preserve"> в интересах Фонда</w:t>
      </w:r>
      <w:r w:rsidR="00D65CE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04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195D" w:rsidRPr="00A04869" w:rsidRDefault="003C195D" w:rsidP="003C19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определения и учета резервов предстоящих расходов (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отпусков за фактически отработанное время, включая платежи на обязательное социальное страхование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и расходов будущих периодов (</w:t>
      </w:r>
      <w:r w:rsidRPr="00A04869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4869">
        <w:rPr>
          <w:rFonts w:ascii="Times New Roman" w:hAnsi="Times New Roman" w:cs="Times New Roman"/>
          <w:sz w:val="24"/>
          <w:szCs w:val="24"/>
        </w:rPr>
        <w:t xml:space="preserve"> неисключительных прав пользования нематериальными активами,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4869">
        <w:rPr>
          <w:rFonts w:ascii="Times New Roman" w:hAnsi="Times New Roman" w:cs="Times New Roman"/>
          <w:sz w:val="24"/>
          <w:szCs w:val="24"/>
        </w:rPr>
        <w:t xml:space="preserve"> договоров страхования, действующих  в течение нескольких отчетных периодов,  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4869">
        <w:rPr>
          <w:rFonts w:ascii="Times New Roman" w:hAnsi="Times New Roman" w:cs="Times New Roman"/>
          <w:sz w:val="24"/>
          <w:szCs w:val="24"/>
        </w:rPr>
        <w:t xml:space="preserve"> отпусков сотрудникам в части дней отпуска, не заработанных работниками и относящихся к очередному финансовому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869">
        <w:rPr>
          <w:rFonts w:ascii="Times New Roman" w:hAnsi="Times New Roman" w:cs="Times New Roman"/>
          <w:sz w:val="24"/>
          <w:szCs w:val="24"/>
        </w:rPr>
        <w:t>оформление подписк</w:t>
      </w:r>
      <w:r>
        <w:rPr>
          <w:rFonts w:ascii="Times New Roman" w:hAnsi="Times New Roman" w:cs="Times New Roman"/>
          <w:sz w:val="24"/>
          <w:szCs w:val="24"/>
        </w:rPr>
        <w:t>и на электронные журналы и т.п.)</w:t>
      </w:r>
      <w:r w:rsidR="00D65CE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95D" w:rsidRDefault="003C195D" w:rsidP="003C19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бюджетных, денежных обязательств</w:t>
      </w:r>
      <w:r w:rsidR="00D65C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195D" w:rsidRDefault="003C195D" w:rsidP="003C19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155350">
        <w:rPr>
          <w:rFonts w:ascii="Times New Roman" w:hAnsi="Times New Roman" w:cs="Times New Roman"/>
          <w:bCs/>
          <w:sz w:val="24"/>
          <w:szCs w:val="24"/>
        </w:rPr>
        <w:t>инвентаризации имущества и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периодичность</w:t>
      </w:r>
      <w:r w:rsidR="00D65C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95D" w:rsidRDefault="003C195D" w:rsidP="003C19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на забалансовых счетах</w:t>
      </w:r>
      <w:r w:rsidR="00D65C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195D" w:rsidRDefault="003C195D" w:rsidP="003C19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55350">
        <w:rPr>
          <w:rFonts w:ascii="Times New Roman" w:hAnsi="Times New Roman" w:cs="Times New Roman"/>
          <w:bCs/>
          <w:sz w:val="24"/>
          <w:szCs w:val="24"/>
        </w:rPr>
        <w:t>рганизаци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55350">
        <w:rPr>
          <w:rFonts w:ascii="Times New Roman" w:hAnsi="Times New Roman" w:cs="Times New Roman"/>
          <w:bCs/>
          <w:sz w:val="24"/>
          <w:szCs w:val="24"/>
        </w:rPr>
        <w:t xml:space="preserve"> и срок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155350">
        <w:rPr>
          <w:rFonts w:ascii="Times New Roman" w:hAnsi="Times New Roman" w:cs="Times New Roman"/>
          <w:bCs/>
          <w:sz w:val="24"/>
          <w:szCs w:val="24"/>
        </w:rPr>
        <w:t xml:space="preserve"> хранения учетных документов</w:t>
      </w:r>
      <w:r w:rsidR="00D65CE9">
        <w:rPr>
          <w:rFonts w:ascii="Times New Roman" w:hAnsi="Times New Roman" w:cs="Times New Roman"/>
          <w:bCs/>
          <w:sz w:val="24"/>
          <w:szCs w:val="24"/>
        </w:rPr>
        <w:t>.</w:t>
      </w:r>
    </w:p>
    <w:p w:rsidR="003C195D" w:rsidRDefault="003C195D" w:rsidP="00F9533D">
      <w:pPr>
        <w:spacing w:after="0" w:line="240" w:lineRule="auto"/>
        <w:ind w:firstLine="851"/>
        <w:jc w:val="both"/>
      </w:pPr>
    </w:p>
    <w:p w:rsidR="000326D8" w:rsidRDefault="000326D8" w:rsidP="00F9533D">
      <w:pPr>
        <w:spacing w:after="0" w:line="240" w:lineRule="auto"/>
        <w:ind w:firstLine="851"/>
        <w:jc w:val="both"/>
      </w:pPr>
    </w:p>
    <w:p w:rsidR="000326D8" w:rsidRDefault="000326D8" w:rsidP="00F9533D">
      <w:pPr>
        <w:spacing w:after="0" w:line="240" w:lineRule="auto"/>
        <w:ind w:firstLine="851"/>
        <w:jc w:val="both"/>
      </w:pPr>
    </w:p>
    <w:p w:rsidR="000326D8" w:rsidRPr="000326D8" w:rsidRDefault="000326D8" w:rsidP="0003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D8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</w:t>
      </w:r>
      <w:bookmarkStart w:id="7" w:name="_GoBack"/>
      <w:bookmarkEnd w:id="7"/>
      <w:r w:rsidRPr="00032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326D8">
        <w:rPr>
          <w:rFonts w:ascii="Times New Roman" w:hAnsi="Times New Roman" w:cs="Times New Roman"/>
          <w:sz w:val="24"/>
          <w:szCs w:val="24"/>
        </w:rPr>
        <w:t xml:space="preserve">                      О.Н. Кривощапова</w:t>
      </w:r>
    </w:p>
    <w:sectPr w:rsidR="000326D8" w:rsidRPr="000326D8" w:rsidSect="00C96D23">
      <w:headerReference w:type="default" r:id="rId18"/>
      <w:footerReference w:type="default" r:id="rId19"/>
      <w:pgSz w:w="11906" w:h="16838"/>
      <w:pgMar w:top="709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E8" w:rsidRDefault="004C2BE8">
      <w:pPr>
        <w:spacing w:after="0" w:line="240" w:lineRule="auto"/>
      </w:pPr>
      <w:r>
        <w:separator/>
      </w:r>
    </w:p>
  </w:endnote>
  <w:endnote w:type="continuationSeparator" w:id="0">
    <w:p w:rsidR="004C2BE8" w:rsidRDefault="004C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450214"/>
      <w:docPartObj>
        <w:docPartGallery w:val="Page Numbers (Bottom of Page)"/>
        <w:docPartUnique/>
      </w:docPartObj>
    </w:sdtPr>
    <w:sdtEndPr/>
    <w:sdtContent>
      <w:p w:rsidR="00285CDA" w:rsidRDefault="00285CD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6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5CDA" w:rsidRDefault="00285CD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E8" w:rsidRDefault="004C2BE8">
      <w:pPr>
        <w:spacing w:after="0" w:line="240" w:lineRule="auto"/>
      </w:pPr>
      <w:r>
        <w:separator/>
      </w:r>
    </w:p>
  </w:footnote>
  <w:footnote w:type="continuationSeparator" w:id="0">
    <w:p w:rsidR="004C2BE8" w:rsidRDefault="004C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DA" w:rsidRDefault="00285CDA">
    <w:pPr>
      <w:pStyle w:val="af2"/>
      <w:jc w:val="center"/>
    </w:pPr>
  </w:p>
  <w:p w:rsidR="00285CDA" w:rsidRDefault="00285CD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10C"/>
    <w:multiLevelType w:val="multilevel"/>
    <w:tmpl w:val="8B82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40783"/>
    <w:multiLevelType w:val="multilevel"/>
    <w:tmpl w:val="DB665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C550E"/>
    <w:multiLevelType w:val="multilevel"/>
    <w:tmpl w:val="920E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D1984"/>
    <w:multiLevelType w:val="multilevel"/>
    <w:tmpl w:val="440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97882"/>
    <w:multiLevelType w:val="multilevel"/>
    <w:tmpl w:val="ECA0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F59F5"/>
    <w:multiLevelType w:val="multilevel"/>
    <w:tmpl w:val="BD4A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4BEA"/>
    <w:multiLevelType w:val="multilevel"/>
    <w:tmpl w:val="447C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B34810"/>
    <w:multiLevelType w:val="hybridMultilevel"/>
    <w:tmpl w:val="8A14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637A4E"/>
    <w:multiLevelType w:val="multilevel"/>
    <w:tmpl w:val="A6B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E8035B"/>
    <w:multiLevelType w:val="multilevel"/>
    <w:tmpl w:val="EE1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65783"/>
    <w:multiLevelType w:val="multilevel"/>
    <w:tmpl w:val="2A5A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523EA"/>
    <w:multiLevelType w:val="multilevel"/>
    <w:tmpl w:val="1D80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913472"/>
    <w:multiLevelType w:val="hybridMultilevel"/>
    <w:tmpl w:val="304E7964"/>
    <w:lvl w:ilvl="0" w:tplc="EF065E9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43A15"/>
    <w:multiLevelType w:val="multilevel"/>
    <w:tmpl w:val="03D2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BF17FD"/>
    <w:multiLevelType w:val="multilevel"/>
    <w:tmpl w:val="EFFC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E767A3"/>
    <w:multiLevelType w:val="multilevel"/>
    <w:tmpl w:val="65E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AD0716"/>
    <w:multiLevelType w:val="hybridMultilevel"/>
    <w:tmpl w:val="0B68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F2121"/>
    <w:multiLevelType w:val="hybridMultilevel"/>
    <w:tmpl w:val="5CFA6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4C2622"/>
    <w:multiLevelType w:val="multilevel"/>
    <w:tmpl w:val="482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217113"/>
    <w:multiLevelType w:val="multilevel"/>
    <w:tmpl w:val="6F0E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CD1E5D"/>
    <w:multiLevelType w:val="multilevel"/>
    <w:tmpl w:val="F78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9D37DE"/>
    <w:multiLevelType w:val="hybridMultilevel"/>
    <w:tmpl w:val="F342C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E61911"/>
    <w:multiLevelType w:val="hybridMultilevel"/>
    <w:tmpl w:val="203031CA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3770B5"/>
    <w:multiLevelType w:val="multilevel"/>
    <w:tmpl w:val="5DE6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DF7842"/>
    <w:multiLevelType w:val="multilevel"/>
    <w:tmpl w:val="8552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C6D1E"/>
    <w:multiLevelType w:val="hybridMultilevel"/>
    <w:tmpl w:val="56C4ED80"/>
    <w:lvl w:ilvl="0" w:tplc="95C4E7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9419A0"/>
    <w:multiLevelType w:val="multilevel"/>
    <w:tmpl w:val="96F8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21EEC"/>
    <w:multiLevelType w:val="multilevel"/>
    <w:tmpl w:val="0670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7F4947"/>
    <w:multiLevelType w:val="hybridMultilevel"/>
    <w:tmpl w:val="C45CB0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D4785E"/>
    <w:multiLevelType w:val="multilevel"/>
    <w:tmpl w:val="2608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1"/>
  </w:num>
  <w:num w:numId="5">
    <w:abstractNumId w:val="34"/>
  </w:num>
  <w:num w:numId="6">
    <w:abstractNumId w:val="4"/>
  </w:num>
  <w:num w:numId="7">
    <w:abstractNumId w:val="46"/>
  </w:num>
  <w:num w:numId="8">
    <w:abstractNumId w:val="6"/>
  </w:num>
  <w:num w:numId="9">
    <w:abstractNumId w:val="14"/>
  </w:num>
  <w:num w:numId="10">
    <w:abstractNumId w:val="26"/>
  </w:num>
  <w:num w:numId="11">
    <w:abstractNumId w:val="40"/>
  </w:num>
  <w:num w:numId="12">
    <w:abstractNumId w:val="8"/>
  </w:num>
  <w:num w:numId="13">
    <w:abstractNumId w:val="13"/>
  </w:num>
  <w:num w:numId="14">
    <w:abstractNumId w:val="31"/>
  </w:num>
  <w:num w:numId="15">
    <w:abstractNumId w:val="17"/>
  </w:num>
  <w:num w:numId="16">
    <w:abstractNumId w:val="3"/>
  </w:num>
  <w:num w:numId="17">
    <w:abstractNumId w:val="28"/>
  </w:num>
  <w:num w:numId="18">
    <w:abstractNumId w:val="41"/>
  </w:num>
  <w:num w:numId="19">
    <w:abstractNumId w:val="2"/>
  </w:num>
  <w:num w:numId="20">
    <w:abstractNumId w:val="9"/>
  </w:num>
  <w:num w:numId="21">
    <w:abstractNumId w:val="45"/>
  </w:num>
  <w:num w:numId="22">
    <w:abstractNumId w:val="44"/>
  </w:num>
  <w:num w:numId="23">
    <w:abstractNumId w:val="20"/>
  </w:num>
  <w:num w:numId="24">
    <w:abstractNumId w:val="32"/>
  </w:num>
  <w:num w:numId="25">
    <w:abstractNumId w:val="15"/>
  </w:num>
  <w:num w:numId="26">
    <w:abstractNumId w:val="27"/>
  </w:num>
  <w:num w:numId="27">
    <w:abstractNumId w:val="18"/>
  </w:num>
  <w:num w:numId="28">
    <w:abstractNumId w:val="36"/>
  </w:num>
  <w:num w:numId="29">
    <w:abstractNumId w:val="43"/>
  </w:num>
  <w:num w:numId="30">
    <w:abstractNumId w:val="11"/>
  </w:num>
  <w:num w:numId="31">
    <w:abstractNumId w:val="37"/>
  </w:num>
  <w:num w:numId="32">
    <w:abstractNumId w:val="16"/>
  </w:num>
  <w:num w:numId="33">
    <w:abstractNumId w:val="39"/>
  </w:num>
  <w:num w:numId="34">
    <w:abstractNumId w:val="7"/>
  </w:num>
  <w:num w:numId="35">
    <w:abstractNumId w:val="35"/>
  </w:num>
  <w:num w:numId="36">
    <w:abstractNumId w:val="5"/>
  </w:num>
  <w:num w:numId="37">
    <w:abstractNumId w:val="23"/>
  </w:num>
  <w:num w:numId="38">
    <w:abstractNumId w:val="33"/>
  </w:num>
  <w:num w:numId="39">
    <w:abstractNumId w:val="0"/>
  </w:num>
  <w:num w:numId="40">
    <w:abstractNumId w:val="29"/>
  </w:num>
  <w:num w:numId="41">
    <w:abstractNumId w:val="38"/>
  </w:num>
  <w:num w:numId="42">
    <w:abstractNumId w:val="25"/>
  </w:num>
  <w:num w:numId="43">
    <w:abstractNumId w:val="30"/>
  </w:num>
  <w:num w:numId="44">
    <w:abstractNumId w:val="10"/>
  </w:num>
  <w:num w:numId="45">
    <w:abstractNumId w:val="24"/>
  </w:num>
  <w:num w:numId="46">
    <w:abstractNumId w:val="42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69"/>
    <w:rsid w:val="000306CB"/>
    <w:rsid w:val="000326D8"/>
    <w:rsid w:val="000E20E6"/>
    <w:rsid w:val="00155350"/>
    <w:rsid w:val="002517F1"/>
    <w:rsid w:val="00262862"/>
    <w:rsid w:val="00285CDA"/>
    <w:rsid w:val="00335B8C"/>
    <w:rsid w:val="00360898"/>
    <w:rsid w:val="003A3307"/>
    <w:rsid w:val="003C195D"/>
    <w:rsid w:val="003F0D30"/>
    <w:rsid w:val="00432AA0"/>
    <w:rsid w:val="004C2BE8"/>
    <w:rsid w:val="005629B3"/>
    <w:rsid w:val="006C1FFC"/>
    <w:rsid w:val="007A2D92"/>
    <w:rsid w:val="007D6A4C"/>
    <w:rsid w:val="007F19A1"/>
    <w:rsid w:val="00825237"/>
    <w:rsid w:val="00932F14"/>
    <w:rsid w:val="00980978"/>
    <w:rsid w:val="009A04B1"/>
    <w:rsid w:val="00A04869"/>
    <w:rsid w:val="00A61B8E"/>
    <w:rsid w:val="00A758CD"/>
    <w:rsid w:val="00C96D23"/>
    <w:rsid w:val="00CA50B4"/>
    <w:rsid w:val="00D65CE9"/>
    <w:rsid w:val="00D865A3"/>
    <w:rsid w:val="00E24121"/>
    <w:rsid w:val="00E261E9"/>
    <w:rsid w:val="00EC6EED"/>
    <w:rsid w:val="00F65EEF"/>
    <w:rsid w:val="00F917DA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F5DA"/>
  <w15:chartTrackingRefBased/>
  <w15:docId w15:val="{FC2401D2-59E3-4ECF-951F-72F41EE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4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4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4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8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4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48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A0486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rmal (Web)"/>
    <w:basedOn w:val="a"/>
    <w:uiPriority w:val="99"/>
    <w:unhideWhenUsed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4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048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4869"/>
    <w:pPr>
      <w:ind w:left="720"/>
      <w:contextualSpacing/>
    </w:pPr>
  </w:style>
  <w:style w:type="paragraph" w:customStyle="1" w:styleId="s1">
    <w:name w:val="s_1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04869"/>
  </w:style>
  <w:style w:type="paragraph" w:customStyle="1" w:styleId="dt-p">
    <w:name w:val="dt-p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afff">
    <w:name w:val="header_afff"/>
    <w:basedOn w:val="a0"/>
    <w:rsid w:val="00A04869"/>
  </w:style>
  <w:style w:type="character" w:customStyle="1" w:styleId="printhtml">
    <w:name w:val="print_html"/>
    <w:basedOn w:val="a0"/>
    <w:rsid w:val="00A04869"/>
  </w:style>
  <w:style w:type="paragraph" w:customStyle="1" w:styleId="ac">
    <w:name w:val="_ac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04869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A0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0486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A04869"/>
    <w:rPr>
      <w:b/>
      <w:bCs/>
    </w:rPr>
  </w:style>
  <w:style w:type="paragraph" w:customStyle="1" w:styleId="a9">
    <w:name w:val="a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ynos">
    <w:name w:val="vynos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0">
    <w:name w:val="a9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a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noparagraphstyle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04869"/>
    <w:pPr>
      <w:spacing w:after="0" w:line="24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A04869"/>
    <w:rPr>
      <w:color w:val="106BBE"/>
    </w:rPr>
  </w:style>
  <w:style w:type="paragraph" w:customStyle="1" w:styleId="ae">
    <w:name w:val="Текст ЭР (см. также)"/>
    <w:basedOn w:val="a"/>
    <w:next w:val="a"/>
    <w:uiPriority w:val="99"/>
    <w:rsid w:val="00A0486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styleId="af">
    <w:name w:val="footer"/>
    <w:link w:val="af0"/>
    <w:uiPriority w:val="99"/>
    <w:rsid w:val="00A0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048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4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4869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A04869"/>
    <w:rPr>
      <w:b/>
      <w:bCs/>
      <w:i/>
      <w:iCs/>
      <w:color w:val="FF0000"/>
    </w:rPr>
  </w:style>
  <w:style w:type="paragraph" w:customStyle="1" w:styleId="ConsPlusNormal0">
    <w:name w:val="ConsPlusNormal"/>
    <w:rsid w:val="00A0486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1">
    <w:name w:val="Цветовое выделение"/>
    <w:uiPriority w:val="99"/>
    <w:rsid w:val="00A04869"/>
    <w:rPr>
      <w:b/>
      <w:bCs/>
      <w:color w:val="26282F"/>
    </w:rPr>
  </w:style>
  <w:style w:type="character" w:customStyle="1" w:styleId="convertedhdrxl">
    <w:name w:val="converted_hdr_xl"/>
    <w:basedOn w:val="a0"/>
    <w:rsid w:val="00A04869"/>
  </w:style>
  <w:style w:type="character" w:customStyle="1" w:styleId="z-">
    <w:name w:val="z-Начало формы Знак"/>
    <w:basedOn w:val="a0"/>
    <w:link w:val="z-0"/>
    <w:uiPriority w:val="99"/>
    <w:semiHidden/>
    <w:rsid w:val="00A048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048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A0486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A048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048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A04869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A04869"/>
  </w:style>
  <w:style w:type="character" w:customStyle="1" w:styleId="articlebody">
    <w:name w:val="articlebody"/>
    <w:basedOn w:val="a0"/>
    <w:rsid w:val="00A04869"/>
  </w:style>
  <w:style w:type="character" w:customStyle="1" w:styleId="watermarkcontainer">
    <w:name w:val="watermark_container"/>
    <w:basedOn w:val="a0"/>
    <w:rsid w:val="00A04869"/>
  </w:style>
  <w:style w:type="character" w:customStyle="1" w:styleId="watermark">
    <w:name w:val="watermark"/>
    <w:basedOn w:val="a0"/>
    <w:rsid w:val="00A04869"/>
  </w:style>
  <w:style w:type="character" w:customStyle="1" w:styleId="enumerated">
    <w:name w:val="enumerated"/>
    <w:basedOn w:val="a0"/>
    <w:rsid w:val="00A04869"/>
  </w:style>
  <w:style w:type="paragraph" w:styleId="af2">
    <w:name w:val="header"/>
    <w:basedOn w:val="a"/>
    <w:link w:val="af3"/>
    <w:uiPriority w:val="99"/>
    <w:unhideWhenUsed/>
    <w:rsid w:val="00A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04869"/>
  </w:style>
  <w:style w:type="character" w:customStyle="1" w:styleId="s10">
    <w:name w:val="s_10"/>
    <w:basedOn w:val="a0"/>
    <w:rsid w:val="00A04869"/>
  </w:style>
  <w:style w:type="paragraph" w:customStyle="1" w:styleId="paragraph">
    <w:name w:val="paragraph"/>
    <w:basedOn w:val="a"/>
    <w:rsid w:val="00A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4869"/>
  </w:style>
  <w:style w:type="character" w:customStyle="1" w:styleId="eop">
    <w:name w:val="eop"/>
    <w:basedOn w:val="a0"/>
    <w:rsid w:val="00A0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215087" TargetMode="External"/><Relationship Id="rId13" Type="http://schemas.openxmlformats.org/officeDocument/2006/relationships/hyperlink" Target="https://www.referent.ru/1/28715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eferent.ru/1/288022" TargetMode="External"/><Relationship Id="rId17" Type="http://schemas.openxmlformats.org/officeDocument/2006/relationships/hyperlink" Target="https://www.referent.ru/1/2873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ferent.ru/1/28716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erent.ru/1/2871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ferent.ru/1/287356" TargetMode="External"/><Relationship Id="rId10" Type="http://schemas.openxmlformats.org/officeDocument/2006/relationships/hyperlink" Target="https://www.referent.ru/1/28833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ferent.ru/1/288335" TargetMode="External"/><Relationship Id="rId14" Type="http://schemas.openxmlformats.org/officeDocument/2006/relationships/hyperlink" Target="https://www.referent.ru/1/287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7C96-6ACA-4FBB-984A-7ED013CA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Кривощапова</dc:creator>
  <cp:keywords/>
  <dc:description/>
  <cp:lastModifiedBy>Ольга Н. Кривощапова</cp:lastModifiedBy>
  <cp:revision>12</cp:revision>
  <cp:lastPrinted>2019-02-26T11:52:00Z</cp:lastPrinted>
  <dcterms:created xsi:type="dcterms:W3CDTF">2019-02-25T09:34:00Z</dcterms:created>
  <dcterms:modified xsi:type="dcterms:W3CDTF">2019-02-26T12:44:00Z</dcterms:modified>
</cp:coreProperties>
</file>